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EB9515" w14:textId="6FA9FBE9" w:rsidR="00DE2F98" w:rsidRPr="00DE2F98" w:rsidRDefault="00DE2F98" w:rsidP="00DE2F98">
      <w:pPr>
        <w:pStyle w:val="Heading1"/>
        <w:jc w:val="center"/>
        <w:rPr>
          <w:color w:val="000000" w:themeColor="text1"/>
        </w:rPr>
      </w:pPr>
      <w:bookmarkStart w:id="0" w:name="_GoBack"/>
      <w:r w:rsidRPr="00DE2F98">
        <w:rPr>
          <w:color w:val="000000" w:themeColor="text1"/>
        </w:rPr>
        <w:t>INANI SECURITIES LIMITED</w:t>
      </w:r>
    </w:p>
    <w:p w14:paraId="281CE6DF" w14:textId="2EAE9735" w:rsidR="00494603" w:rsidRPr="00DE2F98" w:rsidRDefault="00494603" w:rsidP="004063D9">
      <w:pPr>
        <w:jc w:val="center"/>
        <w:rPr>
          <w:rFonts w:ascii="Times New Roman" w:hAnsi="Times New Roman" w:cs="Times New Roman"/>
          <w:b/>
          <w:bCs/>
          <w:color w:val="000000" w:themeColor="text1"/>
          <w:u w:val="single"/>
        </w:rPr>
      </w:pPr>
      <w:r w:rsidRPr="00DE2F98">
        <w:rPr>
          <w:rFonts w:ascii="Times New Roman" w:hAnsi="Times New Roman" w:cs="Times New Roman"/>
          <w:b/>
          <w:bCs/>
          <w:color w:val="000000" w:themeColor="text1"/>
          <w:u w:val="single"/>
        </w:rPr>
        <w:t>Dividend distribution policy for listed companies</w:t>
      </w:r>
    </w:p>
    <w:p w14:paraId="79B5B47E" w14:textId="77777777" w:rsidR="00DE2F98" w:rsidRPr="00DE2F98" w:rsidRDefault="00DE2F98" w:rsidP="004063D9">
      <w:pPr>
        <w:jc w:val="center"/>
        <w:rPr>
          <w:rFonts w:ascii="Times New Roman" w:hAnsi="Times New Roman" w:cs="Times New Roman"/>
          <w:b/>
          <w:bCs/>
          <w:color w:val="000000" w:themeColor="text1"/>
          <w:u w:val="single"/>
        </w:rPr>
      </w:pPr>
    </w:p>
    <w:p w14:paraId="6113502D" w14:textId="77777777" w:rsidR="00DE2F98" w:rsidRPr="00DE2F98" w:rsidRDefault="00DE2F98" w:rsidP="00DE2F98">
      <w:pPr>
        <w:pStyle w:val="Heading3"/>
        <w:jc w:val="both"/>
        <w:rPr>
          <w:color w:val="000000" w:themeColor="text1"/>
        </w:rPr>
      </w:pPr>
      <w:r w:rsidRPr="00DE2F98">
        <w:rPr>
          <w:color w:val="000000" w:themeColor="text1"/>
        </w:rPr>
        <w:t>1. OBJECTIVE</w:t>
      </w:r>
    </w:p>
    <w:p w14:paraId="3CF7C196" w14:textId="77777777" w:rsidR="00DE2F98" w:rsidRPr="00DE2F98" w:rsidRDefault="00DE2F98" w:rsidP="00DE2F98">
      <w:pPr>
        <w:pStyle w:val="NormalWeb"/>
        <w:jc w:val="both"/>
        <w:rPr>
          <w:color w:val="000000" w:themeColor="text1"/>
        </w:rPr>
      </w:pPr>
      <w:r w:rsidRPr="00DE2F98">
        <w:rPr>
          <w:color w:val="000000" w:themeColor="text1"/>
        </w:rPr>
        <w:t>The objective of this Policy is to lay down the criteria and parameters for declaration and distribution of dividends by the Company in accordance with the applicable provisions of the Companies Act, 2013, the SEBI (Listing Obligations and Disclosure Requirements) Regulations, 2015 (“SEBI LODR Regulations”), and other applicable laws.</w:t>
      </w:r>
    </w:p>
    <w:p w14:paraId="07CA7F46" w14:textId="77777777" w:rsidR="00DE2F98" w:rsidRPr="00DE2F98" w:rsidRDefault="00DE2F98" w:rsidP="00DE2F98">
      <w:pPr>
        <w:pStyle w:val="Heading3"/>
        <w:jc w:val="both"/>
        <w:rPr>
          <w:color w:val="000000" w:themeColor="text1"/>
        </w:rPr>
      </w:pPr>
      <w:r w:rsidRPr="00DE2F98">
        <w:rPr>
          <w:color w:val="000000" w:themeColor="text1"/>
        </w:rPr>
        <w:t>2. CIRCUMSTANCES FOR DECLARATION OF DIVIDEND</w:t>
      </w:r>
    </w:p>
    <w:p w14:paraId="7E81437E" w14:textId="77777777" w:rsidR="00DE2F98" w:rsidRPr="00DE2F98" w:rsidRDefault="00DE2F98" w:rsidP="00DE2F98">
      <w:pPr>
        <w:pStyle w:val="NormalWeb"/>
        <w:jc w:val="both"/>
        <w:rPr>
          <w:color w:val="000000" w:themeColor="text1"/>
        </w:rPr>
      </w:pPr>
      <w:r w:rsidRPr="00DE2F98">
        <w:rPr>
          <w:color w:val="000000" w:themeColor="text1"/>
        </w:rPr>
        <w:t>The Company may declare dividends, subject to the availability of distributable profits, its financial position, cash flow requirements, business needs and applicable statutory and regulatory provisions.</w:t>
      </w:r>
    </w:p>
    <w:p w14:paraId="40073947" w14:textId="77777777" w:rsidR="00DE2F98" w:rsidRPr="00DE2F98" w:rsidRDefault="00DE2F98" w:rsidP="00DE2F98">
      <w:pPr>
        <w:pStyle w:val="NormalWeb"/>
        <w:jc w:val="both"/>
        <w:rPr>
          <w:color w:val="000000" w:themeColor="text1"/>
        </w:rPr>
      </w:pPr>
      <w:r w:rsidRPr="00DE2F98">
        <w:rPr>
          <w:color w:val="000000" w:themeColor="text1"/>
        </w:rPr>
        <w:t>The Company may also decide not to declare dividends where profits are inadequate, funds are required for business operations or expansion, or other financial obligations necessitate the retention of earnings.</w:t>
      </w:r>
    </w:p>
    <w:p w14:paraId="702D200C" w14:textId="77777777" w:rsidR="00DE2F98" w:rsidRPr="00DE2F98" w:rsidRDefault="00DE2F98" w:rsidP="00DE2F98">
      <w:pPr>
        <w:pStyle w:val="NormalWeb"/>
        <w:jc w:val="both"/>
        <w:rPr>
          <w:color w:val="000000" w:themeColor="text1"/>
        </w:rPr>
      </w:pPr>
      <w:r w:rsidRPr="00DE2F98">
        <w:rPr>
          <w:color w:val="000000" w:themeColor="text1"/>
        </w:rPr>
        <w:t>The declaration of dividends shall remain subject to the applicable provisions of law and the approval of the competent authority, as applicable.</w:t>
      </w:r>
    </w:p>
    <w:p w14:paraId="0E336299" w14:textId="77777777" w:rsidR="00DE2F98" w:rsidRPr="00DE2F98" w:rsidRDefault="00DE2F98" w:rsidP="00DE2F98">
      <w:pPr>
        <w:pStyle w:val="Heading3"/>
        <w:jc w:val="both"/>
        <w:rPr>
          <w:color w:val="000000" w:themeColor="text1"/>
        </w:rPr>
      </w:pPr>
      <w:r w:rsidRPr="00DE2F98">
        <w:rPr>
          <w:color w:val="000000" w:themeColor="text1"/>
        </w:rPr>
        <w:t>3. FINANCIAL PARAMETERS</w:t>
      </w:r>
    </w:p>
    <w:p w14:paraId="645A5355" w14:textId="77777777" w:rsidR="00DE2F98" w:rsidRPr="00DE2F98" w:rsidRDefault="00DE2F98" w:rsidP="00DE2F98">
      <w:pPr>
        <w:pStyle w:val="NormalWeb"/>
        <w:jc w:val="both"/>
        <w:rPr>
          <w:color w:val="000000" w:themeColor="text1"/>
        </w:rPr>
      </w:pPr>
      <w:r w:rsidRPr="00DE2F98">
        <w:rPr>
          <w:color w:val="000000" w:themeColor="text1"/>
        </w:rPr>
        <w:t>The Board of Directors shall consider the following financial parameters while recommending or declaring dividends:</w:t>
      </w:r>
    </w:p>
    <w:p w14:paraId="783BD637" w14:textId="77777777" w:rsidR="00DE2F98" w:rsidRPr="00DE2F98" w:rsidRDefault="00DE2F98" w:rsidP="00DE2F98">
      <w:pPr>
        <w:pStyle w:val="NormalWeb"/>
        <w:numPr>
          <w:ilvl w:val="0"/>
          <w:numId w:val="5"/>
        </w:numPr>
        <w:jc w:val="both"/>
        <w:rPr>
          <w:color w:val="000000" w:themeColor="text1"/>
        </w:rPr>
      </w:pPr>
      <w:r w:rsidRPr="00DE2F98">
        <w:rPr>
          <w:color w:val="000000" w:themeColor="text1"/>
        </w:rPr>
        <w:t>Net profits and accumulated distributable profits of the Company.</w:t>
      </w:r>
    </w:p>
    <w:p w14:paraId="2A96033A" w14:textId="77777777" w:rsidR="00DE2F98" w:rsidRPr="00DE2F98" w:rsidRDefault="00DE2F98" w:rsidP="00DE2F98">
      <w:pPr>
        <w:pStyle w:val="NormalWeb"/>
        <w:numPr>
          <w:ilvl w:val="0"/>
          <w:numId w:val="5"/>
        </w:numPr>
        <w:jc w:val="both"/>
        <w:rPr>
          <w:color w:val="000000" w:themeColor="text1"/>
        </w:rPr>
      </w:pPr>
      <w:r w:rsidRPr="00DE2F98">
        <w:rPr>
          <w:color w:val="000000" w:themeColor="text1"/>
        </w:rPr>
        <w:t>Cash flow and liquidity position.</w:t>
      </w:r>
    </w:p>
    <w:p w14:paraId="58069CAA" w14:textId="77777777" w:rsidR="00DE2F98" w:rsidRPr="00DE2F98" w:rsidRDefault="00DE2F98" w:rsidP="00DE2F98">
      <w:pPr>
        <w:pStyle w:val="NormalWeb"/>
        <w:numPr>
          <w:ilvl w:val="0"/>
          <w:numId w:val="5"/>
        </w:numPr>
        <w:jc w:val="both"/>
        <w:rPr>
          <w:color w:val="000000" w:themeColor="text1"/>
        </w:rPr>
      </w:pPr>
      <w:r w:rsidRPr="00DE2F98">
        <w:rPr>
          <w:color w:val="000000" w:themeColor="text1"/>
        </w:rPr>
        <w:t>Existing and future financial obligations.</w:t>
      </w:r>
    </w:p>
    <w:p w14:paraId="10B5025F" w14:textId="77777777" w:rsidR="00DE2F98" w:rsidRPr="00DE2F98" w:rsidRDefault="00DE2F98" w:rsidP="00DE2F98">
      <w:pPr>
        <w:pStyle w:val="NormalWeb"/>
        <w:numPr>
          <w:ilvl w:val="0"/>
          <w:numId w:val="5"/>
        </w:numPr>
        <w:jc w:val="both"/>
        <w:rPr>
          <w:color w:val="000000" w:themeColor="text1"/>
        </w:rPr>
      </w:pPr>
      <w:r w:rsidRPr="00DE2F98">
        <w:rPr>
          <w:color w:val="000000" w:themeColor="text1"/>
        </w:rPr>
        <w:t>Capital expenditure and investment requirements.</w:t>
      </w:r>
    </w:p>
    <w:p w14:paraId="0B28BD79" w14:textId="77777777" w:rsidR="00DE2F98" w:rsidRPr="00DE2F98" w:rsidRDefault="00DE2F98" w:rsidP="00DE2F98">
      <w:pPr>
        <w:pStyle w:val="NormalWeb"/>
        <w:numPr>
          <w:ilvl w:val="0"/>
          <w:numId w:val="5"/>
        </w:numPr>
        <w:jc w:val="both"/>
        <w:rPr>
          <w:color w:val="000000" w:themeColor="text1"/>
        </w:rPr>
      </w:pPr>
      <w:r w:rsidRPr="00DE2F98">
        <w:rPr>
          <w:color w:val="000000" w:themeColor="text1"/>
        </w:rPr>
        <w:t>Debt repayment obligations and overall financial stability.</w:t>
      </w:r>
    </w:p>
    <w:p w14:paraId="34F97EF5" w14:textId="77777777" w:rsidR="00DE2F98" w:rsidRPr="00DE2F98" w:rsidRDefault="00DE2F98" w:rsidP="00DE2F98">
      <w:pPr>
        <w:pStyle w:val="NormalWeb"/>
        <w:numPr>
          <w:ilvl w:val="0"/>
          <w:numId w:val="5"/>
        </w:numPr>
        <w:jc w:val="both"/>
        <w:rPr>
          <w:color w:val="000000" w:themeColor="text1"/>
        </w:rPr>
      </w:pPr>
      <w:r w:rsidRPr="00DE2F98">
        <w:rPr>
          <w:color w:val="000000" w:themeColor="text1"/>
        </w:rPr>
        <w:t>Any other financial parameter considered relevant by the Board of Directors.</w:t>
      </w:r>
    </w:p>
    <w:p w14:paraId="62885917" w14:textId="77777777" w:rsidR="00DE2F98" w:rsidRPr="00DE2F98" w:rsidRDefault="00DE2F98" w:rsidP="00DE2F98">
      <w:pPr>
        <w:pStyle w:val="Heading3"/>
        <w:jc w:val="both"/>
        <w:rPr>
          <w:color w:val="000000" w:themeColor="text1"/>
        </w:rPr>
      </w:pPr>
      <w:r w:rsidRPr="00DE2F98">
        <w:rPr>
          <w:color w:val="000000" w:themeColor="text1"/>
        </w:rPr>
        <w:t>4. INTERNAL AND EXTERNAL FACTORS</w:t>
      </w:r>
    </w:p>
    <w:p w14:paraId="23CEAA43" w14:textId="77777777" w:rsidR="00DE2F98" w:rsidRPr="00DE2F98" w:rsidRDefault="00DE2F98" w:rsidP="00DE2F98">
      <w:pPr>
        <w:pStyle w:val="NormalWeb"/>
        <w:jc w:val="both"/>
        <w:rPr>
          <w:color w:val="000000" w:themeColor="text1"/>
        </w:rPr>
      </w:pPr>
      <w:r w:rsidRPr="00DE2F98">
        <w:rPr>
          <w:color w:val="000000" w:themeColor="text1"/>
        </w:rPr>
        <w:t>The following internal and external factors may be considered while determining dividend distribution:</w:t>
      </w:r>
    </w:p>
    <w:p w14:paraId="4A669D30" w14:textId="77777777" w:rsidR="00DE2F98" w:rsidRPr="00DE2F98" w:rsidRDefault="00DE2F98" w:rsidP="00DE2F98">
      <w:pPr>
        <w:pStyle w:val="NormalWeb"/>
        <w:jc w:val="both"/>
        <w:rPr>
          <w:color w:val="000000" w:themeColor="text1"/>
        </w:rPr>
      </w:pPr>
      <w:r w:rsidRPr="00DE2F98">
        <w:rPr>
          <w:rStyle w:val="Strong"/>
          <w:rFonts w:eastAsiaTheme="majorEastAsia"/>
          <w:color w:val="000000" w:themeColor="text1"/>
        </w:rPr>
        <w:t>A. Internal Factors</w:t>
      </w:r>
    </w:p>
    <w:p w14:paraId="5DA913E7" w14:textId="77777777" w:rsidR="00DE2F98" w:rsidRPr="00DE2F98" w:rsidRDefault="00DE2F98" w:rsidP="00DE2F98">
      <w:pPr>
        <w:pStyle w:val="NormalWeb"/>
        <w:numPr>
          <w:ilvl w:val="0"/>
          <w:numId w:val="6"/>
        </w:numPr>
        <w:jc w:val="both"/>
        <w:rPr>
          <w:color w:val="000000" w:themeColor="text1"/>
        </w:rPr>
      </w:pPr>
      <w:r w:rsidRPr="00DE2F98">
        <w:rPr>
          <w:color w:val="000000" w:themeColor="text1"/>
        </w:rPr>
        <w:t>Business performance and profitability.</w:t>
      </w:r>
    </w:p>
    <w:p w14:paraId="3A6D5A1D" w14:textId="77777777" w:rsidR="00DE2F98" w:rsidRPr="00DE2F98" w:rsidRDefault="00DE2F98" w:rsidP="00DE2F98">
      <w:pPr>
        <w:pStyle w:val="NormalWeb"/>
        <w:numPr>
          <w:ilvl w:val="0"/>
          <w:numId w:val="6"/>
        </w:numPr>
        <w:jc w:val="both"/>
        <w:rPr>
          <w:color w:val="000000" w:themeColor="text1"/>
        </w:rPr>
      </w:pPr>
      <w:r w:rsidRPr="00DE2F98">
        <w:rPr>
          <w:color w:val="000000" w:themeColor="text1"/>
        </w:rPr>
        <w:t>Future growth and expansion plans.</w:t>
      </w:r>
    </w:p>
    <w:p w14:paraId="1026D22B" w14:textId="77777777" w:rsidR="00DE2F98" w:rsidRPr="00DE2F98" w:rsidRDefault="00DE2F98" w:rsidP="00DE2F98">
      <w:pPr>
        <w:pStyle w:val="NormalWeb"/>
        <w:numPr>
          <w:ilvl w:val="0"/>
          <w:numId w:val="6"/>
        </w:numPr>
        <w:jc w:val="both"/>
        <w:rPr>
          <w:color w:val="000000" w:themeColor="text1"/>
        </w:rPr>
      </w:pPr>
      <w:r w:rsidRPr="00DE2F98">
        <w:rPr>
          <w:color w:val="000000" w:themeColor="text1"/>
        </w:rPr>
        <w:lastRenderedPageBreak/>
        <w:t>Working capital requirements.</w:t>
      </w:r>
    </w:p>
    <w:p w14:paraId="3C5987F9" w14:textId="77777777" w:rsidR="00DE2F98" w:rsidRPr="00DE2F98" w:rsidRDefault="00DE2F98" w:rsidP="00DE2F98">
      <w:pPr>
        <w:pStyle w:val="NormalWeb"/>
        <w:numPr>
          <w:ilvl w:val="0"/>
          <w:numId w:val="6"/>
        </w:numPr>
        <w:jc w:val="both"/>
        <w:rPr>
          <w:color w:val="000000" w:themeColor="text1"/>
        </w:rPr>
      </w:pPr>
      <w:r w:rsidRPr="00DE2F98">
        <w:rPr>
          <w:color w:val="000000" w:themeColor="text1"/>
        </w:rPr>
        <w:t>Capital expenditure and investment opportunities.</w:t>
      </w:r>
    </w:p>
    <w:p w14:paraId="51C238D1" w14:textId="77777777" w:rsidR="00DE2F98" w:rsidRPr="00DE2F98" w:rsidRDefault="00DE2F98" w:rsidP="00DE2F98">
      <w:pPr>
        <w:pStyle w:val="NormalWeb"/>
        <w:numPr>
          <w:ilvl w:val="0"/>
          <w:numId w:val="6"/>
        </w:numPr>
        <w:jc w:val="both"/>
        <w:rPr>
          <w:color w:val="000000" w:themeColor="text1"/>
        </w:rPr>
      </w:pPr>
      <w:r w:rsidRPr="00DE2F98">
        <w:rPr>
          <w:color w:val="000000" w:themeColor="text1"/>
        </w:rPr>
        <w:t>Financial commitments and risk factors.</w:t>
      </w:r>
    </w:p>
    <w:p w14:paraId="230A9034" w14:textId="77777777" w:rsidR="00DE2F98" w:rsidRPr="00DE2F98" w:rsidRDefault="00DE2F98" w:rsidP="00DE2F98">
      <w:pPr>
        <w:pStyle w:val="NormalWeb"/>
        <w:numPr>
          <w:ilvl w:val="0"/>
          <w:numId w:val="6"/>
        </w:numPr>
        <w:jc w:val="both"/>
        <w:rPr>
          <w:color w:val="000000" w:themeColor="text1"/>
        </w:rPr>
      </w:pPr>
      <w:r w:rsidRPr="00DE2F98">
        <w:rPr>
          <w:color w:val="000000" w:themeColor="text1"/>
        </w:rPr>
        <w:t>Any other internal factors considered relevant by the Board of Directors.</w:t>
      </w:r>
    </w:p>
    <w:p w14:paraId="674AF268" w14:textId="77777777" w:rsidR="00DE2F98" w:rsidRPr="00DE2F98" w:rsidRDefault="00DE2F98" w:rsidP="00DE2F98">
      <w:pPr>
        <w:pStyle w:val="NormalWeb"/>
        <w:jc w:val="both"/>
        <w:rPr>
          <w:color w:val="000000" w:themeColor="text1"/>
        </w:rPr>
      </w:pPr>
      <w:r w:rsidRPr="00DE2F98">
        <w:rPr>
          <w:rStyle w:val="Strong"/>
          <w:rFonts w:eastAsiaTheme="majorEastAsia"/>
          <w:color w:val="000000" w:themeColor="text1"/>
        </w:rPr>
        <w:t>B. External Factors</w:t>
      </w:r>
    </w:p>
    <w:p w14:paraId="41425F9D" w14:textId="77777777" w:rsidR="00DE2F98" w:rsidRPr="00DE2F98" w:rsidRDefault="00DE2F98" w:rsidP="00DE2F98">
      <w:pPr>
        <w:pStyle w:val="NormalWeb"/>
        <w:numPr>
          <w:ilvl w:val="0"/>
          <w:numId w:val="7"/>
        </w:numPr>
        <w:jc w:val="both"/>
        <w:rPr>
          <w:color w:val="000000" w:themeColor="text1"/>
        </w:rPr>
      </w:pPr>
      <w:r w:rsidRPr="00DE2F98">
        <w:rPr>
          <w:color w:val="000000" w:themeColor="text1"/>
        </w:rPr>
        <w:t>Economic and market conditions.</w:t>
      </w:r>
    </w:p>
    <w:p w14:paraId="2A5AF017" w14:textId="77777777" w:rsidR="00DE2F98" w:rsidRPr="00DE2F98" w:rsidRDefault="00DE2F98" w:rsidP="00DE2F98">
      <w:pPr>
        <w:pStyle w:val="NormalWeb"/>
        <w:numPr>
          <w:ilvl w:val="0"/>
          <w:numId w:val="7"/>
        </w:numPr>
        <w:jc w:val="both"/>
        <w:rPr>
          <w:color w:val="000000" w:themeColor="text1"/>
        </w:rPr>
      </w:pPr>
      <w:r w:rsidRPr="00DE2F98">
        <w:rPr>
          <w:color w:val="000000" w:themeColor="text1"/>
        </w:rPr>
        <w:t>Applicable statutory and regulatory requirements.</w:t>
      </w:r>
    </w:p>
    <w:p w14:paraId="7DB964F7" w14:textId="77777777" w:rsidR="00DE2F98" w:rsidRPr="00DE2F98" w:rsidRDefault="00DE2F98" w:rsidP="00DE2F98">
      <w:pPr>
        <w:pStyle w:val="NormalWeb"/>
        <w:numPr>
          <w:ilvl w:val="0"/>
          <w:numId w:val="7"/>
        </w:numPr>
        <w:jc w:val="both"/>
        <w:rPr>
          <w:color w:val="000000" w:themeColor="text1"/>
        </w:rPr>
      </w:pPr>
      <w:r w:rsidRPr="00DE2F98">
        <w:rPr>
          <w:color w:val="000000" w:themeColor="text1"/>
        </w:rPr>
        <w:t>Industry trends and the business environment.</w:t>
      </w:r>
    </w:p>
    <w:p w14:paraId="4C6343ED" w14:textId="77777777" w:rsidR="00DE2F98" w:rsidRPr="00DE2F98" w:rsidRDefault="00DE2F98" w:rsidP="00DE2F98">
      <w:pPr>
        <w:pStyle w:val="NormalWeb"/>
        <w:numPr>
          <w:ilvl w:val="0"/>
          <w:numId w:val="7"/>
        </w:numPr>
        <w:jc w:val="both"/>
        <w:rPr>
          <w:color w:val="000000" w:themeColor="text1"/>
        </w:rPr>
      </w:pPr>
      <w:r w:rsidRPr="00DE2F98">
        <w:rPr>
          <w:color w:val="000000" w:themeColor="text1"/>
        </w:rPr>
        <w:t>Other external factors affecting the Company's financial position.</w:t>
      </w:r>
    </w:p>
    <w:p w14:paraId="1731C007" w14:textId="77777777" w:rsidR="00DE2F98" w:rsidRPr="00DE2F98" w:rsidRDefault="00DE2F98" w:rsidP="00DE2F98">
      <w:pPr>
        <w:pStyle w:val="Heading3"/>
        <w:jc w:val="both"/>
        <w:rPr>
          <w:color w:val="000000" w:themeColor="text1"/>
        </w:rPr>
      </w:pPr>
      <w:r w:rsidRPr="00DE2F98">
        <w:rPr>
          <w:color w:val="000000" w:themeColor="text1"/>
        </w:rPr>
        <w:t>5. UTILISATION OF RETAINED EARNINGS</w:t>
      </w:r>
    </w:p>
    <w:p w14:paraId="6AA099B8" w14:textId="77777777" w:rsidR="00DE2F98" w:rsidRPr="00DE2F98" w:rsidRDefault="00DE2F98" w:rsidP="00DE2F98">
      <w:pPr>
        <w:pStyle w:val="NormalWeb"/>
        <w:jc w:val="both"/>
        <w:rPr>
          <w:color w:val="000000" w:themeColor="text1"/>
        </w:rPr>
      </w:pPr>
      <w:r w:rsidRPr="00DE2F98">
        <w:rPr>
          <w:color w:val="000000" w:themeColor="text1"/>
        </w:rPr>
        <w:t>The retained earnings of the Company may be utilised for business expansion, capital expenditure, working capital requirements, repayment of borrowings, strategic investments, strengthening financial reserves or any other purpose approved by the Board of Directors in the interests of the Company, subject to applicable laws and regulations.</w:t>
      </w:r>
    </w:p>
    <w:p w14:paraId="2E360522" w14:textId="77777777" w:rsidR="00DE2F98" w:rsidRPr="00DE2F98" w:rsidRDefault="00DE2F98" w:rsidP="00DE2F98">
      <w:pPr>
        <w:pStyle w:val="Heading3"/>
        <w:jc w:val="both"/>
        <w:rPr>
          <w:color w:val="000000" w:themeColor="text1"/>
        </w:rPr>
      </w:pPr>
      <w:r w:rsidRPr="00DE2F98">
        <w:rPr>
          <w:color w:val="000000" w:themeColor="text1"/>
        </w:rPr>
        <w:t>6. DIVIDEND IN RESPECT OF DIFFERENT CLASSES OF SHARES</w:t>
      </w:r>
    </w:p>
    <w:p w14:paraId="696FA24B" w14:textId="77777777" w:rsidR="00DE2F98" w:rsidRPr="00DE2F98" w:rsidRDefault="00DE2F98" w:rsidP="00DE2F98">
      <w:pPr>
        <w:pStyle w:val="NormalWeb"/>
        <w:jc w:val="both"/>
        <w:rPr>
          <w:color w:val="000000" w:themeColor="text1"/>
        </w:rPr>
      </w:pPr>
      <w:r w:rsidRPr="00DE2F98">
        <w:rPr>
          <w:color w:val="000000" w:themeColor="text1"/>
        </w:rPr>
        <w:t>Dividend, if declared, shall be distributed among shareholders in accordance with the rights attached to the respective classes of shares, the Company's Memorandum and Articles of Association, and applicable laws and regulations.</w:t>
      </w:r>
    </w:p>
    <w:p w14:paraId="7AB2193E" w14:textId="77777777" w:rsidR="00DE2F98" w:rsidRPr="00DE2F98" w:rsidRDefault="00DE2F98" w:rsidP="00DE2F98">
      <w:pPr>
        <w:pStyle w:val="Heading3"/>
        <w:jc w:val="both"/>
        <w:rPr>
          <w:color w:val="000000" w:themeColor="text1"/>
        </w:rPr>
      </w:pPr>
      <w:r w:rsidRPr="00DE2F98">
        <w:rPr>
          <w:color w:val="000000" w:themeColor="text1"/>
        </w:rPr>
        <w:t>7. DISCLOSURE AND REVIEW</w:t>
      </w:r>
    </w:p>
    <w:p w14:paraId="1D7F6559" w14:textId="77777777" w:rsidR="00DE2F98" w:rsidRPr="00DE2F98" w:rsidRDefault="00DE2F98" w:rsidP="00DE2F98">
      <w:pPr>
        <w:pStyle w:val="NormalWeb"/>
        <w:jc w:val="both"/>
        <w:rPr>
          <w:color w:val="000000" w:themeColor="text1"/>
        </w:rPr>
      </w:pPr>
      <w:r w:rsidRPr="00DE2F98">
        <w:rPr>
          <w:color w:val="000000" w:themeColor="text1"/>
        </w:rPr>
        <w:t>The Company shall disclose this Policy on its website and provide the web-link in its Annual Report, wherever applicable, in accordance with Regulation 43A of the SEBI (Listing Obligations and Disclosure Requirements) Regulations, 2015.</w:t>
      </w:r>
    </w:p>
    <w:p w14:paraId="3B5FCAB1" w14:textId="77777777" w:rsidR="00DE2F98" w:rsidRPr="00DE2F98" w:rsidRDefault="00DE2F98" w:rsidP="00DE2F98">
      <w:pPr>
        <w:pStyle w:val="NormalWeb"/>
        <w:jc w:val="both"/>
        <w:rPr>
          <w:color w:val="000000" w:themeColor="text1"/>
        </w:rPr>
      </w:pPr>
      <w:r w:rsidRPr="00DE2F98">
        <w:rPr>
          <w:color w:val="000000" w:themeColor="text1"/>
        </w:rPr>
        <w:t>Any changes to this Policy or any additional parameters considered for declaring dividends shall be disclosed, along with the rationale for such changes, in the Annual Report and on the Company's website, wherever required under applicable regulations.</w:t>
      </w:r>
    </w:p>
    <w:p w14:paraId="64EFCD74" w14:textId="77777777" w:rsidR="00DE2F98" w:rsidRPr="00DE2F98" w:rsidRDefault="00DE2F98" w:rsidP="00DE2F98">
      <w:pPr>
        <w:pStyle w:val="NormalWeb"/>
        <w:jc w:val="both"/>
        <w:rPr>
          <w:color w:val="000000" w:themeColor="text1"/>
        </w:rPr>
      </w:pPr>
      <w:r w:rsidRPr="00DE2F98">
        <w:rPr>
          <w:color w:val="000000" w:themeColor="text1"/>
        </w:rPr>
        <w:t>The Board of Directors may review and amend this Policy from time to time in accordance with applicable laws and regulations.</w:t>
      </w:r>
    </w:p>
    <w:bookmarkEnd w:id="0"/>
    <w:p w14:paraId="29785C36" w14:textId="77777777" w:rsidR="004063D9" w:rsidRPr="00DE2F98" w:rsidRDefault="004063D9" w:rsidP="00DE2F98">
      <w:pPr>
        <w:jc w:val="both"/>
        <w:rPr>
          <w:rFonts w:ascii="Times New Roman" w:hAnsi="Times New Roman" w:cs="Times New Roman"/>
          <w:color w:val="000000" w:themeColor="text1"/>
          <w:sz w:val="22"/>
          <w:szCs w:val="22"/>
        </w:rPr>
      </w:pPr>
    </w:p>
    <w:sectPr w:rsidR="004063D9" w:rsidRPr="00DE2F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AF69F5"/>
    <w:multiLevelType w:val="multilevel"/>
    <w:tmpl w:val="5A5CD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67029F"/>
    <w:multiLevelType w:val="multilevel"/>
    <w:tmpl w:val="8EAE4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C61422"/>
    <w:multiLevelType w:val="multilevel"/>
    <w:tmpl w:val="10E47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4C4A86"/>
    <w:multiLevelType w:val="multilevel"/>
    <w:tmpl w:val="96E8D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E24BE2"/>
    <w:multiLevelType w:val="multilevel"/>
    <w:tmpl w:val="D8F27576"/>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EBA5647"/>
    <w:multiLevelType w:val="multilevel"/>
    <w:tmpl w:val="51A20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C43929"/>
    <w:multiLevelType w:val="multilevel"/>
    <w:tmpl w:val="151AD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6"/>
  </w:num>
  <w:num w:numId="4">
    <w:abstractNumId w:val="3"/>
  </w:num>
  <w:num w:numId="5">
    <w:abstractNumId w:val="2"/>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603"/>
    <w:rsid w:val="004063D9"/>
    <w:rsid w:val="00494603"/>
    <w:rsid w:val="0049572E"/>
    <w:rsid w:val="008E079B"/>
    <w:rsid w:val="00DE2F9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79493"/>
  <w15:chartTrackingRefBased/>
  <w15:docId w15:val="{1FA97366-FEA3-48D7-98CA-D99A6D1C9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46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46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46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46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46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46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6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6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6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6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46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46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46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46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46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6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6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603"/>
    <w:rPr>
      <w:rFonts w:eastAsiaTheme="majorEastAsia" w:cstheme="majorBidi"/>
      <w:color w:val="272727" w:themeColor="text1" w:themeTint="D8"/>
    </w:rPr>
  </w:style>
  <w:style w:type="paragraph" w:styleId="Title">
    <w:name w:val="Title"/>
    <w:basedOn w:val="Normal"/>
    <w:next w:val="Normal"/>
    <w:link w:val="TitleChar"/>
    <w:uiPriority w:val="10"/>
    <w:qFormat/>
    <w:rsid w:val="004946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6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6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6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603"/>
    <w:pPr>
      <w:spacing w:before="160"/>
      <w:jc w:val="center"/>
    </w:pPr>
    <w:rPr>
      <w:i/>
      <w:iCs/>
      <w:color w:val="404040" w:themeColor="text1" w:themeTint="BF"/>
    </w:rPr>
  </w:style>
  <w:style w:type="character" w:customStyle="1" w:styleId="QuoteChar">
    <w:name w:val="Quote Char"/>
    <w:basedOn w:val="DefaultParagraphFont"/>
    <w:link w:val="Quote"/>
    <w:uiPriority w:val="29"/>
    <w:rsid w:val="00494603"/>
    <w:rPr>
      <w:i/>
      <w:iCs/>
      <w:color w:val="404040" w:themeColor="text1" w:themeTint="BF"/>
    </w:rPr>
  </w:style>
  <w:style w:type="paragraph" w:styleId="ListParagraph">
    <w:name w:val="List Paragraph"/>
    <w:basedOn w:val="Normal"/>
    <w:uiPriority w:val="34"/>
    <w:qFormat/>
    <w:rsid w:val="00494603"/>
    <w:pPr>
      <w:ind w:left="720"/>
      <w:contextualSpacing/>
    </w:pPr>
  </w:style>
  <w:style w:type="character" w:styleId="IntenseEmphasis">
    <w:name w:val="Intense Emphasis"/>
    <w:basedOn w:val="DefaultParagraphFont"/>
    <w:uiPriority w:val="21"/>
    <w:qFormat/>
    <w:rsid w:val="00494603"/>
    <w:rPr>
      <w:i/>
      <w:iCs/>
      <w:color w:val="0F4761" w:themeColor="accent1" w:themeShade="BF"/>
    </w:rPr>
  </w:style>
  <w:style w:type="paragraph" w:styleId="IntenseQuote">
    <w:name w:val="Intense Quote"/>
    <w:basedOn w:val="Normal"/>
    <w:next w:val="Normal"/>
    <w:link w:val="IntenseQuoteChar"/>
    <w:uiPriority w:val="30"/>
    <w:qFormat/>
    <w:rsid w:val="004946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4603"/>
    <w:rPr>
      <w:i/>
      <w:iCs/>
      <w:color w:val="0F4761" w:themeColor="accent1" w:themeShade="BF"/>
    </w:rPr>
  </w:style>
  <w:style w:type="character" w:styleId="IntenseReference">
    <w:name w:val="Intense Reference"/>
    <w:basedOn w:val="DefaultParagraphFont"/>
    <w:uiPriority w:val="32"/>
    <w:qFormat/>
    <w:rsid w:val="00494603"/>
    <w:rPr>
      <w:b/>
      <w:bCs/>
      <w:smallCaps/>
      <w:color w:val="0F4761" w:themeColor="accent1" w:themeShade="BF"/>
      <w:spacing w:val="5"/>
    </w:rPr>
  </w:style>
  <w:style w:type="paragraph" w:styleId="NormalWeb">
    <w:name w:val="Normal (Web)"/>
    <w:basedOn w:val="Normal"/>
    <w:uiPriority w:val="99"/>
    <w:semiHidden/>
    <w:unhideWhenUsed/>
    <w:rsid w:val="00DE2F98"/>
    <w:pPr>
      <w:spacing w:before="100" w:beforeAutospacing="1" w:after="100" w:afterAutospacing="1" w:line="240" w:lineRule="auto"/>
    </w:pPr>
    <w:rPr>
      <w:rFonts w:ascii="Times New Roman" w:eastAsia="Times New Roman" w:hAnsi="Times New Roman" w:cs="Times New Roman"/>
      <w:kern w:val="0"/>
      <w:lang w:eastAsia="en-IN"/>
      <w14:ligatures w14:val="none"/>
    </w:rPr>
  </w:style>
  <w:style w:type="character" w:styleId="Strong">
    <w:name w:val="Strong"/>
    <w:basedOn w:val="DefaultParagraphFont"/>
    <w:uiPriority w:val="22"/>
    <w:qFormat/>
    <w:rsid w:val="00DE2F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596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514</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Muskaan Agarwal</dc:creator>
  <cp:keywords/>
  <dc:description/>
  <cp:lastModifiedBy>PC</cp:lastModifiedBy>
  <cp:revision>3</cp:revision>
  <dcterms:created xsi:type="dcterms:W3CDTF">2026-10-14T07:37:00Z</dcterms:created>
  <dcterms:modified xsi:type="dcterms:W3CDTF">2026-10-21T07:58:00Z</dcterms:modified>
</cp:coreProperties>
</file>